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5B1BF7" w:rsidRPr="005727E5" w:rsidTr="00573292">
        <w:trPr>
          <w:trHeight w:val="915"/>
        </w:trPr>
        <w:tc>
          <w:tcPr>
            <w:tcW w:w="5501" w:type="dxa"/>
            <w:vAlign w:val="center"/>
          </w:tcPr>
          <w:p w:rsidR="005B1BF7" w:rsidRDefault="00020CDC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5B1BF7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CD2AF0">
              <w:rPr>
                <w:rFonts w:asciiTheme="majorHAnsi" w:eastAsiaTheme="majorEastAsia" w:hAnsiTheme="majorHAnsi" w:cstheme="majorBidi"/>
                <w:sz w:val="36"/>
                <w:szCs w:val="36"/>
              </w:rPr>
              <w:t>ARALIK</w:t>
            </w:r>
          </w:p>
          <w:p w:rsidR="005B1BF7" w:rsidRDefault="00F56154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TÜKETİCİ GÜVEN ENDEKSİ</w:t>
            </w:r>
          </w:p>
        </w:tc>
        <w:tc>
          <w:tcPr>
            <w:tcW w:w="3797" w:type="dxa"/>
          </w:tcPr>
          <w:p w:rsidR="005B1BF7" w:rsidRPr="005727E5" w:rsidRDefault="00184AC2" w:rsidP="003D4079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21</w:t>
            </w:r>
            <w:r w:rsidR="009577EA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 w:rsidR="00CD2AF0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Aralık</w:t>
            </w:r>
            <w:r w:rsidR="009577EA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2015</w:t>
            </w:r>
            <w:r w:rsidR="005B1BF7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</w:t>
            </w:r>
            <w:r w:rsidR="005B1BF7" w:rsidRPr="005727E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</w:rPr>
              <w:drawing>
                <wp:inline distT="0" distB="0" distL="0" distR="0" wp14:anchorId="45E0E8B2" wp14:editId="604BC06A">
                  <wp:extent cx="892754" cy="533400"/>
                  <wp:effectExtent l="0" t="0" r="0" b="0"/>
                  <wp:docPr id="3" name="Resim 3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BF7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            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5E5" w:rsidRPr="00586863" w:rsidRDefault="00CD2AF0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Aralık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1FB">
        <w:rPr>
          <w:rFonts w:ascii="Times New Roman" w:hAnsi="Times New Roman" w:cs="Times New Roman"/>
          <w:b/>
          <w:sz w:val="24"/>
          <w:szCs w:val="24"/>
        </w:rPr>
        <w:t>2015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Tüketici Güven Endeksi’ne ilişkin veriler Türkiye İstatistik Kurumu (TÜİK) tarafından </w:t>
      </w:r>
      <w:r w:rsidR="00677CBE">
        <w:rPr>
          <w:rFonts w:ascii="Times New Roman" w:hAnsi="Times New Roman" w:cs="Times New Roman"/>
          <w:b/>
          <w:sz w:val="24"/>
          <w:szCs w:val="24"/>
        </w:rPr>
        <w:t>21</w:t>
      </w:r>
      <w:r w:rsidR="00E402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Aralık</w:t>
      </w:r>
      <w:r w:rsidR="009577EA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tarihinde yayımlandı.</w:t>
      </w:r>
    </w:p>
    <w:p w:rsidR="00586863" w:rsidRPr="00586863" w:rsidRDefault="006245E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863">
        <w:rPr>
          <w:rFonts w:ascii="Times New Roman" w:hAnsi="Times New Roman" w:cs="Times New Roman"/>
          <w:sz w:val="24"/>
          <w:szCs w:val="24"/>
        </w:rPr>
        <w:t xml:space="preserve">TÜİK tarafından aylık yayımlanan Tüketici Güven Endeksi, tüketicilerin yakın gelecekte yapılması planlanan harcama ve </w:t>
      </w:r>
      <w:r w:rsidR="00586863" w:rsidRPr="00586863">
        <w:rPr>
          <w:rFonts w:ascii="Times New Roman" w:hAnsi="Times New Roman" w:cs="Times New Roman"/>
          <w:sz w:val="24"/>
          <w:szCs w:val="24"/>
        </w:rPr>
        <w:t>tasarruflarına ilişkin eğilimler</w:t>
      </w:r>
      <w:r w:rsidR="00586863">
        <w:rPr>
          <w:rFonts w:ascii="Times New Roman" w:hAnsi="Times New Roman" w:cs="Times New Roman"/>
          <w:sz w:val="24"/>
          <w:szCs w:val="24"/>
        </w:rPr>
        <w:t>i</w:t>
      </w:r>
      <w:r w:rsidR="00586863" w:rsidRPr="00586863">
        <w:rPr>
          <w:rFonts w:ascii="Times New Roman" w:hAnsi="Times New Roman" w:cs="Times New Roman"/>
          <w:sz w:val="24"/>
          <w:szCs w:val="24"/>
        </w:rPr>
        <w:t xml:space="preserve"> hakkında bilgi vermektedir.</w:t>
      </w:r>
    </w:p>
    <w:p w:rsidR="00586863" w:rsidRDefault="00586863" w:rsidP="00912B49">
      <w:pPr>
        <w:pStyle w:val="Balk2"/>
        <w:jc w:val="both"/>
      </w:pPr>
      <w:r w:rsidRPr="00586863">
        <w:t xml:space="preserve">Tüketici Güven Endeksi bir önceki aya göre </w:t>
      </w:r>
      <w:r w:rsidR="00184AC2">
        <w:t>azalış</w:t>
      </w:r>
      <w:r w:rsidR="000E3F12">
        <w:t xml:space="preserve"> </w:t>
      </w:r>
      <w:r w:rsidR="004E7EAF">
        <w:t>sergilemiştir</w:t>
      </w:r>
      <w:r w:rsidRPr="00586863">
        <w:t>.</w:t>
      </w:r>
    </w:p>
    <w:p w:rsidR="00586863" w:rsidRDefault="003037E9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586863">
        <w:rPr>
          <w:rFonts w:ascii="Times New Roman" w:hAnsi="Times New Roman" w:cs="Times New Roman"/>
          <w:sz w:val="24"/>
          <w:szCs w:val="24"/>
        </w:rPr>
        <w:t xml:space="preserve"> </w:t>
      </w:r>
      <w:r w:rsidR="00CD2AF0">
        <w:rPr>
          <w:rFonts w:ascii="Times New Roman" w:hAnsi="Times New Roman" w:cs="Times New Roman"/>
          <w:sz w:val="24"/>
          <w:szCs w:val="24"/>
        </w:rPr>
        <w:t>Kasım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184AC2">
        <w:rPr>
          <w:rFonts w:ascii="Times New Roman" w:hAnsi="Times New Roman" w:cs="Times New Roman"/>
          <w:sz w:val="24"/>
          <w:szCs w:val="24"/>
        </w:rPr>
        <w:t>77.15</w:t>
      </w:r>
      <w:r w:rsidR="00B85A44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olan Tüketici Güven Endeksi, </w:t>
      </w:r>
      <w:r w:rsidR="00CD2AF0">
        <w:rPr>
          <w:rFonts w:ascii="Times New Roman" w:hAnsi="Times New Roman" w:cs="Times New Roman"/>
          <w:sz w:val="24"/>
          <w:szCs w:val="24"/>
        </w:rPr>
        <w:t>Aralık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184AC2">
        <w:rPr>
          <w:rFonts w:ascii="Times New Roman" w:hAnsi="Times New Roman" w:cs="Times New Roman"/>
          <w:sz w:val="24"/>
          <w:szCs w:val="24"/>
        </w:rPr>
        <w:t>3.57</w:t>
      </w:r>
      <w:r w:rsidR="0094548D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puan </w:t>
      </w:r>
      <w:r w:rsidR="00184AC2">
        <w:rPr>
          <w:rFonts w:ascii="Times New Roman" w:hAnsi="Times New Roman" w:cs="Times New Roman"/>
          <w:sz w:val="24"/>
          <w:szCs w:val="24"/>
        </w:rPr>
        <w:t>azalarak</w:t>
      </w:r>
      <w:r w:rsidR="007D2264">
        <w:rPr>
          <w:rFonts w:ascii="Times New Roman" w:hAnsi="Times New Roman" w:cs="Times New Roman"/>
          <w:sz w:val="24"/>
          <w:szCs w:val="24"/>
        </w:rPr>
        <w:t xml:space="preserve"> </w:t>
      </w:r>
      <w:r w:rsidR="00184AC2">
        <w:rPr>
          <w:rFonts w:ascii="Times New Roman" w:hAnsi="Times New Roman" w:cs="Times New Roman"/>
          <w:sz w:val="24"/>
          <w:szCs w:val="24"/>
        </w:rPr>
        <w:t>73.58</w:t>
      </w:r>
      <w:r w:rsidR="002A1E0B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seviyesine </w:t>
      </w:r>
      <w:r w:rsidR="00184AC2">
        <w:rPr>
          <w:rFonts w:ascii="Times New Roman" w:hAnsi="Times New Roman" w:cs="Times New Roman"/>
          <w:sz w:val="24"/>
          <w:szCs w:val="24"/>
        </w:rPr>
        <w:t>gerilemiştir</w:t>
      </w:r>
      <w:r w:rsidR="000E3F12">
        <w:rPr>
          <w:rFonts w:ascii="Times New Roman" w:hAnsi="Times New Roman" w:cs="Times New Roman"/>
          <w:sz w:val="24"/>
          <w:szCs w:val="24"/>
        </w:rPr>
        <w:t>.</w:t>
      </w:r>
      <w:r w:rsidR="00945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Böylelikle, </w:t>
      </w:r>
      <w:r w:rsidR="002A5F01">
        <w:rPr>
          <w:rFonts w:ascii="Times New Roman" w:hAnsi="Times New Roman" w:cs="Times New Roman"/>
          <w:sz w:val="24"/>
          <w:szCs w:val="24"/>
        </w:rPr>
        <w:t>geçtiğimiz ay</w:t>
      </w:r>
      <w:r w:rsidR="002A1E0B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gösterdiği </w:t>
      </w:r>
      <w:r w:rsidR="00B85A44">
        <w:rPr>
          <w:rFonts w:ascii="Times New Roman" w:hAnsi="Times New Roman" w:cs="Times New Roman"/>
          <w:sz w:val="24"/>
          <w:szCs w:val="24"/>
        </w:rPr>
        <w:t xml:space="preserve">yükselişin </w:t>
      </w:r>
      <w:r w:rsidR="00912B49">
        <w:rPr>
          <w:rFonts w:ascii="Times New Roman" w:hAnsi="Times New Roman" w:cs="Times New Roman"/>
          <w:sz w:val="24"/>
          <w:szCs w:val="24"/>
        </w:rPr>
        <w:t>ardından</w:t>
      </w:r>
      <w:r w:rsidR="002C6F9B">
        <w:rPr>
          <w:rFonts w:ascii="Times New Roman" w:hAnsi="Times New Roman" w:cs="Times New Roman"/>
          <w:sz w:val="24"/>
          <w:szCs w:val="24"/>
        </w:rPr>
        <w:t xml:space="preserve"> </w:t>
      </w:r>
      <w:r w:rsidR="00184AC2">
        <w:rPr>
          <w:rFonts w:ascii="Times New Roman" w:hAnsi="Times New Roman" w:cs="Times New Roman"/>
          <w:sz w:val="24"/>
          <w:szCs w:val="24"/>
        </w:rPr>
        <w:t>azalma</w:t>
      </w:r>
      <w:r w:rsidR="002A1E0B">
        <w:rPr>
          <w:rFonts w:ascii="Times New Roman" w:hAnsi="Times New Roman" w:cs="Times New Roman"/>
          <w:sz w:val="24"/>
          <w:szCs w:val="24"/>
        </w:rPr>
        <w:t xml:space="preserve"> </w:t>
      </w:r>
      <w:r w:rsidR="00184AC2">
        <w:rPr>
          <w:rFonts w:ascii="Times New Roman" w:hAnsi="Times New Roman" w:cs="Times New Roman"/>
          <w:sz w:val="24"/>
          <w:szCs w:val="24"/>
        </w:rPr>
        <w:t>eğilimi</w:t>
      </w:r>
      <w:r w:rsidR="00B85A44">
        <w:rPr>
          <w:rFonts w:ascii="Times New Roman" w:hAnsi="Times New Roman" w:cs="Times New Roman"/>
          <w:sz w:val="24"/>
          <w:szCs w:val="24"/>
        </w:rPr>
        <w:t xml:space="preserve"> </w:t>
      </w:r>
      <w:r w:rsidR="00184AC2">
        <w:rPr>
          <w:rFonts w:ascii="Times New Roman" w:hAnsi="Times New Roman" w:cs="Times New Roman"/>
          <w:sz w:val="24"/>
          <w:szCs w:val="24"/>
        </w:rPr>
        <w:t>göstermiştir</w:t>
      </w:r>
      <w:r w:rsidR="00912B49">
        <w:rPr>
          <w:rFonts w:ascii="Times New Roman" w:hAnsi="Times New Roman" w:cs="Times New Roman"/>
          <w:sz w:val="24"/>
          <w:szCs w:val="24"/>
        </w:rPr>
        <w:t>.</w:t>
      </w:r>
      <w:r w:rsidR="00AF36C5">
        <w:rPr>
          <w:rFonts w:ascii="Times New Roman" w:hAnsi="Times New Roman" w:cs="Times New Roman"/>
          <w:sz w:val="24"/>
          <w:szCs w:val="24"/>
        </w:rPr>
        <w:t xml:space="preserve"> </w:t>
      </w:r>
      <w:r w:rsidR="003D4079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Bir önceki yılın aynı dönemine göre ise </w:t>
      </w:r>
      <w:r w:rsidR="00EC4D74">
        <w:rPr>
          <w:rFonts w:ascii="Times New Roman" w:hAnsi="Times New Roman" w:cs="Times New Roman"/>
          <w:sz w:val="24"/>
          <w:szCs w:val="24"/>
        </w:rPr>
        <w:t>5.7</w:t>
      </w:r>
      <w:bookmarkStart w:id="0" w:name="_GoBack"/>
      <w:bookmarkEnd w:id="0"/>
      <w:r w:rsidR="00184AC2">
        <w:rPr>
          <w:rFonts w:ascii="Times New Roman" w:hAnsi="Times New Roman" w:cs="Times New Roman"/>
          <w:sz w:val="24"/>
          <w:szCs w:val="24"/>
        </w:rPr>
        <w:t>8</w:t>
      </w:r>
      <w:r w:rsidR="00BF0B58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puan </w:t>
      </w:r>
      <w:r w:rsidR="00B85A44">
        <w:rPr>
          <w:rFonts w:ascii="Times New Roman" w:hAnsi="Times New Roman" w:cs="Times New Roman"/>
          <w:sz w:val="24"/>
          <w:szCs w:val="24"/>
        </w:rPr>
        <w:t>artış</w:t>
      </w:r>
      <w:r w:rsidR="00AF36C5">
        <w:rPr>
          <w:rFonts w:ascii="Times New Roman" w:hAnsi="Times New Roman" w:cs="Times New Roman"/>
          <w:sz w:val="24"/>
          <w:szCs w:val="24"/>
        </w:rPr>
        <w:t xml:space="preserve"> göstermiştir.</w:t>
      </w:r>
    </w:p>
    <w:p w:rsidR="00B2176E" w:rsidRDefault="00B2176E" w:rsidP="00912B49">
      <w:pPr>
        <w:pStyle w:val="ResimYazs"/>
        <w:keepNext/>
        <w:jc w:val="both"/>
      </w:pPr>
      <w:r>
        <w:t xml:space="preserve">Şekil </w:t>
      </w:r>
      <w:r w:rsidR="00866148">
        <w:fldChar w:fldCharType="begin"/>
      </w:r>
      <w:r w:rsidR="009A24D6">
        <w:instrText xml:space="preserve"> SEQ Şekil \* ARABIC </w:instrText>
      </w:r>
      <w:r w:rsidR="00866148">
        <w:fldChar w:fldCharType="separate"/>
      </w:r>
      <w:r w:rsidR="00CD2AF0">
        <w:rPr>
          <w:noProof/>
        </w:rPr>
        <w:t>1</w:t>
      </w:r>
      <w:r w:rsidR="00866148">
        <w:rPr>
          <w:noProof/>
        </w:rPr>
        <w:fldChar w:fldCharType="end"/>
      </w:r>
      <w:r>
        <w:t>: Tüketici Güven En</w:t>
      </w:r>
      <w:r w:rsidR="008D482D">
        <w:t>deksi (</w:t>
      </w:r>
      <w:r w:rsidR="00F9707B">
        <w:t>Ocak</w:t>
      </w:r>
      <w:r w:rsidR="009577EA">
        <w:t xml:space="preserve"> 2014</w:t>
      </w:r>
      <w:r>
        <w:t>-</w:t>
      </w:r>
      <w:r w:rsidR="00CD2AF0">
        <w:t>Aralık</w:t>
      </w:r>
      <w:r w:rsidR="009577EA">
        <w:t xml:space="preserve"> 2015</w:t>
      </w:r>
      <w:r>
        <w:t>)</w:t>
      </w:r>
    </w:p>
    <w:p w:rsidR="00AF36C5" w:rsidRDefault="00B2176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6267E49" wp14:editId="0DC76C19">
            <wp:extent cx="6047117" cy="3200400"/>
            <wp:effectExtent l="0" t="0" r="10795" b="1905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5DFE" w:rsidRPr="00AF4C7B" w:rsidRDefault="00CF66DE" w:rsidP="00912B4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Tüketici Güven Endeks</w:t>
      </w:r>
      <w:r w:rsidR="00912B49">
        <w:rPr>
          <w:rFonts w:ascii="Times New Roman" w:hAnsi="Times New Roman" w:cs="Times New Roman"/>
          <w:sz w:val="24"/>
          <w:szCs w:val="24"/>
        </w:rPr>
        <w:t>i alt kalemlerindeki değişime bir önceki a</w:t>
      </w:r>
      <w:r w:rsidR="004F4715">
        <w:rPr>
          <w:rFonts w:ascii="Times New Roman" w:hAnsi="Times New Roman" w:cs="Times New Roman"/>
          <w:sz w:val="24"/>
          <w:szCs w:val="24"/>
        </w:rPr>
        <w:t>ya göre bakıldığında</w:t>
      </w:r>
      <w:r w:rsidR="00BD2522">
        <w:rPr>
          <w:rFonts w:ascii="Times New Roman" w:hAnsi="Times New Roman" w:cs="Times New Roman"/>
          <w:sz w:val="24"/>
          <w:szCs w:val="24"/>
        </w:rPr>
        <w:t xml:space="preserve">, </w:t>
      </w:r>
      <w:r w:rsidR="004F4715">
        <w:rPr>
          <w:rFonts w:ascii="Times New Roman" w:hAnsi="Times New Roman" w:cs="Times New Roman"/>
          <w:sz w:val="24"/>
          <w:szCs w:val="24"/>
        </w:rPr>
        <w:t>gelecek 12</w:t>
      </w:r>
      <w:r w:rsidR="00E0706D">
        <w:rPr>
          <w:rFonts w:ascii="Times New Roman" w:hAnsi="Times New Roman" w:cs="Times New Roman"/>
          <w:sz w:val="24"/>
          <w:szCs w:val="24"/>
        </w:rPr>
        <w:t xml:space="preserve"> ay için </w:t>
      </w:r>
      <w:r w:rsidR="006B1E56">
        <w:rPr>
          <w:rFonts w:ascii="Times New Roman" w:hAnsi="Times New Roman" w:cs="Times New Roman"/>
          <w:sz w:val="24"/>
          <w:szCs w:val="24"/>
        </w:rPr>
        <w:t>işsiz sayısı</w:t>
      </w:r>
      <w:r w:rsidR="00912B49">
        <w:rPr>
          <w:rFonts w:ascii="Times New Roman" w:hAnsi="Times New Roman" w:cs="Times New Roman"/>
          <w:sz w:val="24"/>
          <w:szCs w:val="24"/>
        </w:rPr>
        <w:t xml:space="preserve"> beklentisinin (</w:t>
      </w:r>
      <w:r w:rsidR="006B1E56">
        <w:rPr>
          <w:rFonts w:ascii="Times New Roman" w:hAnsi="Times New Roman" w:cs="Times New Roman"/>
          <w:sz w:val="24"/>
          <w:szCs w:val="24"/>
        </w:rPr>
        <w:t>6.25</w:t>
      </w:r>
      <w:r w:rsidR="000F0EB3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puan) ve </w:t>
      </w:r>
      <w:r w:rsidR="006B1E56">
        <w:rPr>
          <w:rFonts w:ascii="Times New Roman" w:hAnsi="Times New Roman" w:cs="Times New Roman"/>
          <w:sz w:val="24"/>
          <w:szCs w:val="24"/>
        </w:rPr>
        <w:t>genel ekonomik durum</w:t>
      </w:r>
      <w:r w:rsidR="00634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beklentisi</w:t>
      </w:r>
      <w:r w:rsidR="005F5743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(</w:t>
      </w:r>
      <w:r w:rsidR="006B1E56">
        <w:rPr>
          <w:rFonts w:ascii="Times New Roman" w:hAnsi="Times New Roman" w:cs="Times New Roman"/>
          <w:sz w:val="24"/>
          <w:szCs w:val="24"/>
        </w:rPr>
        <w:t>5.99</w:t>
      </w:r>
      <w:r w:rsidR="00055C6E">
        <w:rPr>
          <w:rFonts w:ascii="Times New Roman" w:hAnsi="Times New Roman" w:cs="Times New Roman"/>
          <w:sz w:val="24"/>
          <w:szCs w:val="24"/>
        </w:rPr>
        <w:t xml:space="preserve"> puan</w:t>
      </w:r>
      <w:r w:rsidR="00BF0B58">
        <w:rPr>
          <w:rFonts w:ascii="Times New Roman" w:hAnsi="Times New Roman" w:cs="Times New Roman"/>
          <w:sz w:val="24"/>
          <w:szCs w:val="24"/>
        </w:rPr>
        <w:t xml:space="preserve">) </w:t>
      </w:r>
      <w:r w:rsidR="006B1E56">
        <w:rPr>
          <w:rFonts w:ascii="Times New Roman" w:hAnsi="Times New Roman" w:cs="Times New Roman"/>
          <w:sz w:val="24"/>
          <w:szCs w:val="24"/>
        </w:rPr>
        <w:t>kötüleştiği</w:t>
      </w:r>
      <w:r w:rsidR="00BD2522">
        <w:rPr>
          <w:rFonts w:ascii="Times New Roman" w:hAnsi="Times New Roman" w:cs="Times New Roman"/>
          <w:sz w:val="24"/>
          <w:szCs w:val="24"/>
        </w:rPr>
        <w:t>,</w:t>
      </w:r>
      <w:r w:rsidR="00E0706D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 xml:space="preserve"> b</w:t>
      </w:r>
      <w:r w:rsidR="00912B49">
        <w:rPr>
          <w:rFonts w:ascii="Times New Roman" w:hAnsi="Times New Roman" w:cs="Times New Roman"/>
          <w:sz w:val="24"/>
          <w:szCs w:val="24"/>
        </w:rPr>
        <w:t>u beklentiler</w:t>
      </w:r>
      <w:r w:rsidR="00344B2B">
        <w:rPr>
          <w:rFonts w:ascii="Times New Roman" w:hAnsi="Times New Roman" w:cs="Times New Roman"/>
          <w:sz w:val="24"/>
          <w:szCs w:val="24"/>
        </w:rPr>
        <w:t>in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344B2B">
        <w:rPr>
          <w:rFonts w:ascii="Times New Roman" w:hAnsi="Times New Roman" w:cs="Times New Roman"/>
          <w:sz w:val="24"/>
          <w:szCs w:val="24"/>
        </w:rPr>
        <w:t>yanı sıra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5F5743">
        <w:rPr>
          <w:rFonts w:ascii="Times New Roman" w:hAnsi="Times New Roman" w:cs="Times New Roman"/>
          <w:sz w:val="24"/>
          <w:szCs w:val="24"/>
        </w:rPr>
        <w:t xml:space="preserve">hanenin maddi durum </w:t>
      </w:r>
      <w:r w:rsidR="00BF0B58">
        <w:rPr>
          <w:rFonts w:ascii="Times New Roman" w:hAnsi="Times New Roman" w:cs="Times New Roman"/>
          <w:sz w:val="24"/>
          <w:szCs w:val="24"/>
        </w:rPr>
        <w:t>beklentisinin</w:t>
      </w:r>
      <w:r w:rsidR="00634912">
        <w:rPr>
          <w:rFonts w:ascii="Times New Roman" w:hAnsi="Times New Roman" w:cs="Times New Roman"/>
          <w:sz w:val="24"/>
          <w:szCs w:val="24"/>
        </w:rPr>
        <w:t xml:space="preserve"> de</w:t>
      </w:r>
      <w:r w:rsidR="000D3F6D">
        <w:rPr>
          <w:rFonts w:ascii="Times New Roman" w:hAnsi="Times New Roman" w:cs="Times New Roman"/>
          <w:sz w:val="24"/>
          <w:szCs w:val="24"/>
        </w:rPr>
        <w:t xml:space="preserve"> </w:t>
      </w:r>
      <w:r w:rsidR="006B1E56">
        <w:rPr>
          <w:rFonts w:ascii="Times New Roman" w:hAnsi="Times New Roman" w:cs="Times New Roman"/>
          <w:sz w:val="24"/>
          <w:szCs w:val="24"/>
        </w:rPr>
        <w:t>2.47</w:t>
      </w:r>
      <w:r w:rsidR="000B30D2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puan </w:t>
      </w:r>
      <w:r w:rsidR="006B1E56">
        <w:rPr>
          <w:rFonts w:ascii="Times New Roman" w:hAnsi="Times New Roman" w:cs="Times New Roman"/>
          <w:sz w:val="24"/>
          <w:szCs w:val="24"/>
        </w:rPr>
        <w:t>azaldığı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görülmektedir</w:t>
      </w:r>
      <w:r w:rsidR="00912B49">
        <w:rPr>
          <w:rFonts w:ascii="Times New Roman" w:hAnsi="Times New Roman" w:cs="Times New Roman"/>
          <w:sz w:val="24"/>
          <w:szCs w:val="24"/>
        </w:rPr>
        <w:t xml:space="preserve"> (Tablo 1).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BF0B58">
        <w:rPr>
          <w:rFonts w:ascii="Times New Roman" w:hAnsi="Times New Roman" w:cs="Times New Roman"/>
          <w:sz w:val="24"/>
          <w:szCs w:val="24"/>
        </w:rPr>
        <w:t>Tasarruf etme ihtimalinde</w:t>
      </w:r>
      <w:r w:rsidR="00344B2B">
        <w:rPr>
          <w:rFonts w:ascii="Times New Roman" w:hAnsi="Times New Roman" w:cs="Times New Roman"/>
          <w:sz w:val="24"/>
          <w:szCs w:val="24"/>
        </w:rPr>
        <w:t xml:space="preserve"> ise</w:t>
      </w:r>
      <w:r w:rsidR="004E7EAF">
        <w:rPr>
          <w:rFonts w:ascii="Times New Roman" w:hAnsi="Times New Roman" w:cs="Times New Roman"/>
          <w:sz w:val="24"/>
          <w:szCs w:val="24"/>
        </w:rPr>
        <w:t xml:space="preserve"> </w:t>
      </w:r>
      <w:r w:rsidR="006B1E56">
        <w:rPr>
          <w:rFonts w:ascii="Times New Roman" w:hAnsi="Times New Roman" w:cs="Times New Roman"/>
          <w:sz w:val="24"/>
          <w:szCs w:val="24"/>
        </w:rPr>
        <w:t xml:space="preserve">0.42 </w:t>
      </w:r>
      <w:r w:rsidR="005F5743">
        <w:rPr>
          <w:rFonts w:ascii="Times New Roman" w:hAnsi="Times New Roman" w:cs="Times New Roman"/>
          <w:sz w:val="24"/>
          <w:szCs w:val="24"/>
        </w:rPr>
        <w:t>puan</w:t>
      </w:r>
      <w:r w:rsidR="006B1E56">
        <w:rPr>
          <w:rFonts w:ascii="Times New Roman" w:hAnsi="Times New Roman" w:cs="Times New Roman"/>
          <w:sz w:val="24"/>
          <w:szCs w:val="24"/>
        </w:rPr>
        <w:t xml:space="preserve"> sınırlı bir</w:t>
      </w:r>
      <w:r w:rsidR="00BF0B58">
        <w:rPr>
          <w:rFonts w:ascii="Times New Roman" w:hAnsi="Times New Roman" w:cs="Times New Roman"/>
          <w:sz w:val="24"/>
          <w:szCs w:val="24"/>
        </w:rPr>
        <w:t xml:space="preserve"> iyileşme</w:t>
      </w:r>
      <w:r w:rsidR="004E7EAF">
        <w:rPr>
          <w:rFonts w:ascii="Times New Roman" w:hAnsi="Times New Roman" w:cs="Times New Roman"/>
          <w:sz w:val="24"/>
          <w:szCs w:val="24"/>
        </w:rPr>
        <w:t xml:space="preserve"> yaşanmıştır.</w:t>
      </w:r>
    </w:p>
    <w:p w:rsidR="004E7EAF" w:rsidRDefault="004E7EAF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5F8" w:rsidRDefault="007065F8" w:rsidP="00912B49">
      <w:pPr>
        <w:pStyle w:val="ResimYazs"/>
        <w:keepNext/>
        <w:jc w:val="both"/>
      </w:pPr>
      <w:r>
        <w:lastRenderedPageBreak/>
        <w:t xml:space="preserve">Tablo </w:t>
      </w:r>
      <w:r w:rsidR="00866148">
        <w:fldChar w:fldCharType="begin"/>
      </w:r>
      <w:r w:rsidR="009A24D6">
        <w:instrText xml:space="preserve"> SEQ Tablo \* ARABIC </w:instrText>
      </w:r>
      <w:r w:rsidR="00866148">
        <w:fldChar w:fldCharType="separate"/>
      </w:r>
      <w:r w:rsidR="00CD2AF0">
        <w:rPr>
          <w:noProof/>
        </w:rPr>
        <w:t>1</w:t>
      </w:r>
      <w:r w:rsidR="00866148">
        <w:rPr>
          <w:noProof/>
        </w:rPr>
        <w:fldChar w:fldCharType="end"/>
      </w:r>
      <w:r>
        <w:t>:Tüketici Güven Endeksi Alt Kalemleri</w:t>
      </w:r>
    </w:p>
    <w:tbl>
      <w:tblPr>
        <w:tblStyle w:val="AkGlgeleme-Vurgu11"/>
        <w:tblW w:w="8718" w:type="dxa"/>
        <w:tblLook w:val="04A0" w:firstRow="1" w:lastRow="0" w:firstColumn="1" w:lastColumn="0" w:noHBand="0" w:noVBand="1"/>
      </w:tblPr>
      <w:tblGrid>
        <w:gridCol w:w="3510"/>
        <w:gridCol w:w="1224"/>
        <w:gridCol w:w="1328"/>
        <w:gridCol w:w="1328"/>
        <w:gridCol w:w="1328"/>
      </w:tblGrid>
      <w:tr w:rsidR="004E7EAF" w:rsidRPr="00DC3CEB" w:rsidTr="004E2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4E7EAF" w:rsidRPr="00DC3CEB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4E7EAF" w:rsidRPr="00DC3CEB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  <w:tc>
          <w:tcPr>
            <w:tcW w:w="2656" w:type="dxa"/>
            <w:gridSpan w:val="2"/>
          </w:tcPr>
          <w:p w:rsidR="004E7EAF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Değişim oranı</w:t>
            </w:r>
            <w:r w:rsidR="001871D2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%</w:t>
            </w:r>
          </w:p>
        </w:tc>
      </w:tr>
      <w:tr w:rsidR="004E7EAF" w:rsidRPr="00415908" w:rsidTr="004E7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4E7EAF" w:rsidRPr="00415908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24" w:type="dxa"/>
            <w:noWrap/>
            <w:hideMark/>
          </w:tcPr>
          <w:p w:rsidR="004E7EAF" w:rsidRPr="00415908" w:rsidRDefault="00CD2AF0" w:rsidP="0078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Kasım</w:t>
            </w:r>
            <w:r w:rsidR="004E392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</w:t>
            </w:r>
            <w:r w:rsidR="00E5330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</w:t>
            </w:r>
          </w:p>
        </w:tc>
        <w:tc>
          <w:tcPr>
            <w:tcW w:w="1328" w:type="dxa"/>
            <w:noWrap/>
            <w:hideMark/>
          </w:tcPr>
          <w:p w:rsidR="004E7EAF" w:rsidRPr="00415908" w:rsidRDefault="00CD2AF0" w:rsidP="0078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Aralık</w:t>
            </w:r>
            <w:r w:rsidR="004E392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</w:t>
            </w:r>
            <w:r w:rsidR="004E7EA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</w:t>
            </w:r>
          </w:p>
        </w:tc>
        <w:tc>
          <w:tcPr>
            <w:tcW w:w="1328" w:type="dxa"/>
          </w:tcPr>
          <w:p w:rsidR="004E7EAF" w:rsidRDefault="004E7EAF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Bir önceki yılın aynı ayına göre</w:t>
            </w:r>
          </w:p>
        </w:tc>
        <w:tc>
          <w:tcPr>
            <w:tcW w:w="1328" w:type="dxa"/>
          </w:tcPr>
          <w:p w:rsidR="004E7EAF" w:rsidRDefault="004E7EAF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Bir önceki aya göre</w:t>
            </w:r>
          </w:p>
        </w:tc>
      </w:tr>
      <w:tr w:rsidR="00184AC2" w:rsidRPr="00DC3CEB" w:rsidTr="00E53300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184AC2" w:rsidRPr="007065F8" w:rsidRDefault="00184AC2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065F8">
              <w:rPr>
                <w:rFonts w:ascii="Calibri" w:eastAsia="Times New Roman" w:hAnsi="Calibri" w:cs="Times New Roman"/>
                <w:color w:val="000000"/>
                <w:lang w:eastAsia="tr-TR"/>
              </w:rPr>
              <w:t>Tüketici Güven Endeksi</w:t>
            </w:r>
          </w:p>
        </w:tc>
        <w:tc>
          <w:tcPr>
            <w:tcW w:w="1224" w:type="dxa"/>
            <w:noWrap/>
          </w:tcPr>
          <w:p w:rsidR="00184AC2" w:rsidRPr="004E7EAF" w:rsidRDefault="00184AC2" w:rsidP="004F7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77.15</w:t>
            </w:r>
          </w:p>
        </w:tc>
        <w:tc>
          <w:tcPr>
            <w:tcW w:w="1328" w:type="dxa"/>
            <w:noWrap/>
          </w:tcPr>
          <w:p w:rsidR="00184AC2" w:rsidRPr="004E7EAF" w:rsidRDefault="00184AC2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73.58</w:t>
            </w:r>
          </w:p>
        </w:tc>
        <w:tc>
          <w:tcPr>
            <w:tcW w:w="1328" w:type="dxa"/>
          </w:tcPr>
          <w:p w:rsidR="00184AC2" w:rsidRPr="004E7EAF" w:rsidRDefault="00184AC2" w:rsidP="004F7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22.9</w:t>
            </w:r>
          </w:p>
        </w:tc>
        <w:tc>
          <w:tcPr>
            <w:tcW w:w="1328" w:type="dxa"/>
          </w:tcPr>
          <w:p w:rsidR="00184AC2" w:rsidRPr="004E7EAF" w:rsidRDefault="00184AC2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-4.6</w:t>
            </w:r>
          </w:p>
        </w:tc>
      </w:tr>
      <w:tr w:rsidR="00184AC2" w:rsidRPr="00DC3CEB" w:rsidTr="00E53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184AC2" w:rsidRPr="00DC3CEB" w:rsidRDefault="00184AC2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Hanenin maddi durum beklentisi</w:t>
            </w:r>
          </w:p>
        </w:tc>
        <w:tc>
          <w:tcPr>
            <w:tcW w:w="1224" w:type="dxa"/>
            <w:noWrap/>
          </w:tcPr>
          <w:p w:rsidR="00184AC2" w:rsidRPr="00DC3CEB" w:rsidRDefault="00184AC2" w:rsidP="004F7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95.66</w:t>
            </w:r>
          </w:p>
        </w:tc>
        <w:tc>
          <w:tcPr>
            <w:tcW w:w="1328" w:type="dxa"/>
            <w:noWrap/>
          </w:tcPr>
          <w:p w:rsidR="00184AC2" w:rsidRPr="00DC3CEB" w:rsidRDefault="00184AC2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93.19</w:t>
            </w:r>
          </w:p>
        </w:tc>
        <w:tc>
          <w:tcPr>
            <w:tcW w:w="1328" w:type="dxa"/>
          </w:tcPr>
          <w:p w:rsidR="00184AC2" w:rsidRDefault="00184AC2" w:rsidP="004F7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10.5</w:t>
            </w:r>
          </w:p>
        </w:tc>
        <w:tc>
          <w:tcPr>
            <w:tcW w:w="1328" w:type="dxa"/>
          </w:tcPr>
          <w:p w:rsidR="00184AC2" w:rsidRDefault="00184AC2" w:rsidP="00BB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-2.6</w:t>
            </w:r>
          </w:p>
        </w:tc>
      </w:tr>
      <w:tr w:rsidR="00184AC2" w:rsidRPr="00DC3CEB" w:rsidTr="004E7EAF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84AC2" w:rsidRPr="007065F8" w:rsidRDefault="00184AC2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7065F8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Genel ekonomik durum beklentisi</w:t>
            </w:r>
          </w:p>
        </w:tc>
        <w:tc>
          <w:tcPr>
            <w:tcW w:w="1224" w:type="dxa"/>
            <w:noWrap/>
          </w:tcPr>
          <w:p w:rsidR="00184AC2" w:rsidRDefault="00184AC2" w:rsidP="004F7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105.90</w:t>
            </w:r>
          </w:p>
        </w:tc>
        <w:tc>
          <w:tcPr>
            <w:tcW w:w="1328" w:type="dxa"/>
            <w:noWrap/>
          </w:tcPr>
          <w:p w:rsidR="00184AC2" w:rsidRDefault="00184AC2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99.91</w:t>
            </w:r>
          </w:p>
        </w:tc>
        <w:tc>
          <w:tcPr>
            <w:tcW w:w="1328" w:type="dxa"/>
          </w:tcPr>
          <w:p w:rsidR="00184AC2" w:rsidRDefault="00184AC2" w:rsidP="004F7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30.9</w:t>
            </w:r>
          </w:p>
        </w:tc>
        <w:tc>
          <w:tcPr>
            <w:tcW w:w="1328" w:type="dxa"/>
          </w:tcPr>
          <w:p w:rsidR="00184AC2" w:rsidRDefault="00184AC2" w:rsidP="00BB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-5.6</w:t>
            </w:r>
          </w:p>
        </w:tc>
      </w:tr>
      <w:tr w:rsidR="00184AC2" w:rsidRPr="00DC3CEB" w:rsidTr="00E53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184AC2" w:rsidRPr="00DC3CEB" w:rsidRDefault="00184AC2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İşsiz sayısı beklentisi</w:t>
            </w:r>
          </w:p>
        </w:tc>
        <w:tc>
          <w:tcPr>
            <w:tcW w:w="1224" w:type="dxa"/>
            <w:noWrap/>
          </w:tcPr>
          <w:p w:rsidR="00184AC2" w:rsidRPr="00DC3CEB" w:rsidRDefault="00184AC2" w:rsidP="004F7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84.66</w:t>
            </w:r>
          </w:p>
        </w:tc>
        <w:tc>
          <w:tcPr>
            <w:tcW w:w="1328" w:type="dxa"/>
            <w:noWrap/>
          </w:tcPr>
          <w:p w:rsidR="00184AC2" w:rsidRPr="00DC3CEB" w:rsidRDefault="00184AC2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78.41</w:t>
            </w:r>
          </w:p>
        </w:tc>
        <w:tc>
          <w:tcPr>
            <w:tcW w:w="1328" w:type="dxa"/>
          </w:tcPr>
          <w:p w:rsidR="00184AC2" w:rsidRDefault="00184AC2" w:rsidP="004F7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31.0</w:t>
            </w:r>
          </w:p>
        </w:tc>
        <w:tc>
          <w:tcPr>
            <w:tcW w:w="1328" w:type="dxa"/>
          </w:tcPr>
          <w:p w:rsidR="00184AC2" w:rsidRDefault="00184AC2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-7.4</w:t>
            </w:r>
          </w:p>
        </w:tc>
      </w:tr>
      <w:tr w:rsidR="00184AC2" w:rsidRPr="00DC3CEB" w:rsidTr="004E7EAF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:rsidR="00184AC2" w:rsidRPr="007065F8" w:rsidRDefault="00184AC2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7065F8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Tasarruf etme ihtimali</w:t>
            </w:r>
          </w:p>
        </w:tc>
        <w:tc>
          <w:tcPr>
            <w:tcW w:w="1224" w:type="dxa"/>
            <w:noWrap/>
          </w:tcPr>
          <w:p w:rsidR="00184AC2" w:rsidRPr="00DC3CEB" w:rsidRDefault="00184AC2" w:rsidP="004F7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22.37</w:t>
            </w:r>
          </w:p>
        </w:tc>
        <w:tc>
          <w:tcPr>
            <w:tcW w:w="1328" w:type="dxa"/>
            <w:noWrap/>
          </w:tcPr>
          <w:p w:rsidR="00184AC2" w:rsidRPr="00DC3CEB" w:rsidRDefault="00184AC2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22.79</w:t>
            </w:r>
          </w:p>
        </w:tc>
        <w:tc>
          <w:tcPr>
            <w:tcW w:w="1328" w:type="dxa"/>
          </w:tcPr>
          <w:p w:rsidR="00184AC2" w:rsidRDefault="00184AC2" w:rsidP="004F7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17.3</w:t>
            </w:r>
          </w:p>
        </w:tc>
        <w:tc>
          <w:tcPr>
            <w:tcW w:w="1328" w:type="dxa"/>
          </w:tcPr>
          <w:p w:rsidR="00184AC2" w:rsidRDefault="00184AC2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1.9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</w:pPr>
    </w:p>
    <w:sectPr w:rsidR="008D5DFE" w:rsidSect="0086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7D" w:rsidRDefault="0043007D" w:rsidP="007065F8">
      <w:pPr>
        <w:spacing w:after="0" w:line="240" w:lineRule="auto"/>
      </w:pPr>
      <w:r>
        <w:separator/>
      </w:r>
    </w:p>
  </w:endnote>
  <w:endnote w:type="continuationSeparator" w:id="0">
    <w:p w:rsidR="0043007D" w:rsidRDefault="0043007D" w:rsidP="007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7D" w:rsidRDefault="0043007D" w:rsidP="007065F8">
      <w:pPr>
        <w:spacing w:after="0" w:line="240" w:lineRule="auto"/>
      </w:pPr>
      <w:r>
        <w:separator/>
      </w:r>
    </w:p>
  </w:footnote>
  <w:footnote w:type="continuationSeparator" w:id="0">
    <w:p w:rsidR="0043007D" w:rsidRDefault="0043007D" w:rsidP="007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E5"/>
    <w:rsid w:val="00020CDC"/>
    <w:rsid w:val="000553EA"/>
    <w:rsid w:val="00055C6E"/>
    <w:rsid w:val="000758DE"/>
    <w:rsid w:val="00095ABD"/>
    <w:rsid w:val="000A458B"/>
    <w:rsid w:val="000B30D2"/>
    <w:rsid w:val="000D3F6D"/>
    <w:rsid w:val="000E3F12"/>
    <w:rsid w:val="000F0EB3"/>
    <w:rsid w:val="00161A8A"/>
    <w:rsid w:val="00184AC2"/>
    <w:rsid w:val="001871D2"/>
    <w:rsid w:val="0019235B"/>
    <w:rsid w:val="00194C9C"/>
    <w:rsid w:val="001F27B9"/>
    <w:rsid w:val="001F424F"/>
    <w:rsid w:val="00210E94"/>
    <w:rsid w:val="00226208"/>
    <w:rsid w:val="0024192E"/>
    <w:rsid w:val="00290392"/>
    <w:rsid w:val="00290F0E"/>
    <w:rsid w:val="002A1E0B"/>
    <w:rsid w:val="002A5F01"/>
    <w:rsid w:val="002B0CF0"/>
    <w:rsid w:val="002C4B95"/>
    <w:rsid w:val="002C6F9B"/>
    <w:rsid w:val="003037E9"/>
    <w:rsid w:val="00344B2B"/>
    <w:rsid w:val="0036091F"/>
    <w:rsid w:val="00373D88"/>
    <w:rsid w:val="003873D8"/>
    <w:rsid w:val="003B0BB3"/>
    <w:rsid w:val="003D4079"/>
    <w:rsid w:val="003D5E75"/>
    <w:rsid w:val="003E67C3"/>
    <w:rsid w:val="003F6E65"/>
    <w:rsid w:val="00400235"/>
    <w:rsid w:val="00404F0A"/>
    <w:rsid w:val="00421F8C"/>
    <w:rsid w:val="0043007D"/>
    <w:rsid w:val="00482B3D"/>
    <w:rsid w:val="0049109E"/>
    <w:rsid w:val="0049346B"/>
    <w:rsid w:val="004A6869"/>
    <w:rsid w:val="004D2DC1"/>
    <w:rsid w:val="004E3923"/>
    <w:rsid w:val="004E7EAF"/>
    <w:rsid w:val="004F4715"/>
    <w:rsid w:val="00507985"/>
    <w:rsid w:val="00520621"/>
    <w:rsid w:val="00532754"/>
    <w:rsid w:val="005434B9"/>
    <w:rsid w:val="00564E68"/>
    <w:rsid w:val="005727E5"/>
    <w:rsid w:val="00583DB0"/>
    <w:rsid w:val="00586863"/>
    <w:rsid w:val="005A3067"/>
    <w:rsid w:val="005B1BF7"/>
    <w:rsid w:val="005E5A3C"/>
    <w:rsid w:val="005F5743"/>
    <w:rsid w:val="006005D1"/>
    <w:rsid w:val="00610460"/>
    <w:rsid w:val="00620F8B"/>
    <w:rsid w:val="006245E5"/>
    <w:rsid w:val="00630BCE"/>
    <w:rsid w:val="00634912"/>
    <w:rsid w:val="00677CBE"/>
    <w:rsid w:val="006A47B3"/>
    <w:rsid w:val="006B1E56"/>
    <w:rsid w:val="006E0E9A"/>
    <w:rsid w:val="007065F8"/>
    <w:rsid w:val="00727627"/>
    <w:rsid w:val="0075084D"/>
    <w:rsid w:val="00781A2B"/>
    <w:rsid w:val="007900DC"/>
    <w:rsid w:val="007B192F"/>
    <w:rsid w:val="007B61FB"/>
    <w:rsid w:val="007D0079"/>
    <w:rsid w:val="007D2264"/>
    <w:rsid w:val="007E179F"/>
    <w:rsid w:val="00835F32"/>
    <w:rsid w:val="00847CB4"/>
    <w:rsid w:val="00866148"/>
    <w:rsid w:val="008B4BB1"/>
    <w:rsid w:val="008D2ACB"/>
    <w:rsid w:val="008D482D"/>
    <w:rsid w:val="008D5DFE"/>
    <w:rsid w:val="00912B49"/>
    <w:rsid w:val="0092072B"/>
    <w:rsid w:val="0093617F"/>
    <w:rsid w:val="0094548D"/>
    <w:rsid w:val="00947AB4"/>
    <w:rsid w:val="009577EA"/>
    <w:rsid w:val="009661E0"/>
    <w:rsid w:val="009A24D6"/>
    <w:rsid w:val="009A35D6"/>
    <w:rsid w:val="009C12C4"/>
    <w:rsid w:val="009C1C4D"/>
    <w:rsid w:val="009C2513"/>
    <w:rsid w:val="009D1DF7"/>
    <w:rsid w:val="009F1D4B"/>
    <w:rsid w:val="00A07D02"/>
    <w:rsid w:val="00A26AA6"/>
    <w:rsid w:val="00AA13D5"/>
    <w:rsid w:val="00AF36C5"/>
    <w:rsid w:val="00AF4C7B"/>
    <w:rsid w:val="00AF7251"/>
    <w:rsid w:val="00B133E4"/>
    <w:rsid w:val="00B2176E"/>
    <w:rsid w:val="00B374A3"/>
    <w:rsid w:val="00B441F9"/>
    <w:rsid w:val="00B467D5"/>
    <w:rsid w:val="00B51276"/>
    <w:rsid w:val="00B512BF"/>
    <w:rsid w:val="00B65927"/>
    <w:rsid w:val="00B85A44"/>
    <w:rsid w:val="00BB6821"/>
    <w:rsid w:val="00BD2522"/>
    <w:rsid w:val="00BE2814"/>
    <w:rsid w:val="00BF0B58"/>
    <w:rsid w:val="00C01B5E"/>
    <w:rsid w:val="00C11301"/>
    <w:rsid w:val="00C27F45"/>
    <w:rsid w:val="00C6528B"/>
    <w:rsid w:val="00C716E7"/>
    <w:rsid w:val="00C9031E"/>
    <w:rsid w:val="00C937CD"/>
    <w:rsid w:val="00C9591B"/>
    <w:rsid w:val="00CC5BA0"/>
    <w:rsid w:val="00CD2AF0"/>
    <w:rsid w:val="00CE0456"/>
    <w:rsid w:val="00CE209E"/>
    <w:rsid w:val="00CF66DE"/>
    <w:rsid w:val="00D06F30"/>
    <w:rsid w:val="00D17FFB"/>
    <w:rsid w:val="00D24657"/>
    <w:rsid w:val="00D61952"/>
    <w:rsid w:val="00D63D85"/>
    <w:rsid w:val="00D87E15"/>
    <w:rsid w:val="00D9788A"/>
    <w:rsid w:val="00DC26FB"/>
    <w:rsid w:val="00DD507E"/>
    <w:rsid w:val="00E0706D"/>
    <w:rsid w:val="00E402F1"/>
    <w:rsid w:val="00E53300"/>
    <w:rsid w:val="00E621A6"/>
    <w:rsid w:val="00EC4D74"/>
    <w:rsid w:val="00F26139"/>
    <w:rsid w:val="00F41337"/>
    <w:rsid w:val="00F56154"/>
    <w:rsid w:val="00F642FF"/>
    <w:rsid w:val="00F9707B"/>
    <w:rsid w:val="00FB1718"/>
    <w:rsid w:val="00FE4E3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854551470916607E-2"/>
          <c:y val="3.596487939007624E-2"/>
          <c:w val="0.92247032759577829"/>
          <c:h val="0.76096394200724904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2014</c:v>
                </c:pt>
              </c:strCache>
            </c:strRef>
          </c:tx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0.0</c:formatCode>
                <c:ptCount val="12"/>
                <c:pt idx="0">
                  <c:v>72.400000000000006</c:v>
                </c:pt>
                <c:pt idx="1">
                  <c:v>69.2</c:v>
                </c:pt>
                <c:pt idx="2">
                  <c:v>72.7</c:v>
                </c:pt>
                <c:pt idx="3">
                  <c:v>78.5</c:v>
                </c:pt>
                <c:pt idx="4">
                  <c:v>76</c:v>
                </c:pt>
                <c:pt idx="5">
                  <c:v>73.7</c:v>
                </c:pt>
                <c:pt idx="6">
                  <c:v>73.900000000000006</c:v>
                </c:pt>
                <c:pt idx="7">
                  <c:v>73.2</c:v>
                </c:pt>
                <c:pt idx="8">
                  <c:v>74</c:v>
                </c:pt>
                <c:pt idx="9">
                  <c:v>70.3</c:v>
                </c:pt>
                <c:pt idx="10">
                  <c:v>68.7</c:v>
                </c:pt>
                <c:pt idx="11">
                  <c:v>67.75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0"/>
              <c:layout>
                <c:manualLayout>
                  <c:x val="-4.3867515710379015E-2"/>
                  <c:y val="5.11804774403199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3867515710379015E-2"/>
                  <c:y val="5.5148731408573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898935641562747E-2"/>
                  <c:y val="5.9116985376827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General</c:formatCode>
                <c:ptCount val="12"/>
                <c:pt idx="0">
                  <c:v>67.709999999999994</c:v>
                </c:pt>
                <c:pt idx="1">
                  <c:v>68.06</c:v>
                </c:pt>
                <c:pt idx="2">
                  <c:v>64.39</c:v>
                </c:pt>
                <c:pt idx="3" formatCode="0.00">
                  <c:v>65.349999999999994</c:v>
                </c:pt>
                <c:pt idx="4">
                  <c:v>64.290000000000006</c:v>
                </c:pt>
                <c:pt idx="5">
                  <c:v>66.45</c:v>
                </c:pt>
                <c:pt idx="6">
                  <c:v>64.66</c:v>
                </c:pt>
                <c:pt idx="7">
                  <c:v>62.35</c:v>
                </c:pt>
                <c:pt idx="8">
                  <c:v>58.52</c:v>
                </c:pt>
                <c:pt idx="9">
                  <c:v>62.78</c:v>
                </c:pt>
                <c:pt idx="10">
                  <c:v>77.150000000000006</c:v>
                </c:pt>
                <c:pt idx="11">
                  <c:v>73.58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9877888"/>
        <c:axId val="42390656"/>
      </c:lineChart>
      <c:catAx>
        <c:axId val="89877888"/>
        <c:scaling>
          <c:orientation val="minMax"/>
        </c:scaling>
        <c:delete val="0"/>
        <c:axPos val="b"/>
        <c:majorTickMark val="out"/>
        <c:minorTickMark val="none"/>
        <c:tickLblPos val="nextTo"/>
        <c:crossAx val="42390656"/>
        <c:crosses val="autoZero"/>
        <c:auto val="1"/>
        <c:lblAlgn val="ctr"/>
        <c:lblOffset val="100"/>
        <c:noMultiLvlLbl val="0"/>
      </c:catAx>
      <c:valAx>
        <c:axId val="42390656"/>
        <c:scaling>
          <c:orientation val="minMax"/>
          <c:min val="55"/>
        </c:scaling>
        <c:delete val="0"/>
        <c:axPos val="l"/>
        <c:numFmt formatCode="0.0" sourceLinked="1"/>
        <c:majorTickMark val="out"/>
        <c:minorTickMark val="none"/>
        <c:tickLblPos val="nextTo"/>
        <c:crossAx val="89877888"/>
        <c:crosses val="autoZero"/>
        <c:crossBetween val="between"/>
        <c:majorUnit val="5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 w="3175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4</cp:revision>
  <cp:lastPrinted>2015-12-21T07:58:00Z</cp:lastPrinted>
  <dcterms:created xsi:type="dcterms:W3CDTF">2015-12-21T07:52:00Z</dcterms:created>
  <dcterms:modified xsi:type="dcterms:W3CDTF">2015-12-21T08:52:00Z</dcterms:modified>
</cp:coreProperties>
</file>